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s="宋体"/>
          <w:b/>
          <w:bCs/>
          <w:color w:val="000000"/>
          <w:sz w:val="30"/>
          <w:szCs w:val="30"/>
        </w:rPr>
      </w:pPr>
    </w:p>
    <w:p>
      <w:pPr>
        <w:spacing w:line="360" w:lineRule="auto"/>
        <w:jc w:val="both"/>
        <w:rPr>
          <w:rFonts w:hint="eastAsia" w:ascii="宋体" w:hAnsi="宋体" w:eastAsia="宋体" w:cs="宋体"/>
          <w:b/>
          <w:bCs/>
          <w:color w:val="000000"/>
          <w:sz w:val="44"/>
          <w:szCs w:val="44"/>
          <w:lang w:eastAsia="zh-CN"/>
        </w:rPr>
      </w:pPr>
    </w:p>
    <w:p>
      <w:pPr>
        <w:spacing w:line="360" w:lineRule="auto"/>
        <w:jc w:val="both"/>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lang w:eastAsia="zh-CN"/>
        </w:rPr>
        <w:t>吉林省吉林中西医结合医院医疗器械采购项目</w:t>
      </w:r>
    </w:p>
    <w:p>
      <w:pPr>
        <w:spacing w:line="360" w:lineRule="auto"/>
        <w:jc w:val="center"/>
        <w:rPr>
          <w:rFonts w:hint="eastAsia" w:ascii="宋体" w:hAnsi="宋体" w:eastAsia="宋体" w:cs="宋体"/>
          <w:b/>
          <w:bCs w:val="0"/>
          <w:color w:val="000000"/>
          <w:sz w:val="24"/>
          <w:szCs w:val="24"/>
        </w:rPr>
      </w:pPr>
    </w:p>
    <w:p>
      <w:pPr>
        <w:rPr>
          <w:rFonts w:hint="eastAsia" w:ascii="宋体" w:hAnsi="宋体"/>
          <w:b/>
          <w:color w:val="000000"/>
          <w:sz w:val="28"/>
          <w:szCs w:val="28"/>
        </w:rPr>
      </w:pPr>
    </w:p>
    <w:p>
      <w:pPr>
        <w:rPr>
          <w:rFonts w:hint="eastAsia" w:ascii="宋体" w:hAnsi="宋体"/>
          <w:b/>
          <w:color w:val="000000"/>
          <w:sz w:val="28"/>
          <w:szCs w:val="28"/>
        </w:rPr>
      </w:pPr>
    </w:p>
    <w:p>
      <w:pPr>
        <w:rPr>
          <w:rFonts w:hint="eastAsia" w:ascii="宋体" w:hAnsi="宋体"/>
          <w:b/>
          <w:color w:val="000000"/>
          <w:sz w:val="28"/>
          <w:szCs w:val="28"/>
        </w:rPr>
      </w:pPr>
    </w:p>
    <w:p>
      <w:pPr>
        <w:jc w:val="center"/>
        <w:rPr>
          <w:rFonts w:ascii="宋体" w:hAnsi="宋体"/>
          <w:b/>
          <w:color w:val="000000"/>
          <w:sz w:val="28"/>
          <w:szCs w:val="28"/>
        </w:rPr>
      </w:pPr>
      <w:r>
        <w:rPr>
          <w:rFonts w:hint="eastAsia" w:ascii="宋体" w:hAnsi="宋体"/>
          <w:b/>
          <w:color w:val="000000"/>
          <w:sz w:val="28"/>
          <w:szCs w:val="28"/>
        </w:rPr>
        <w:t>公  开  招  标</w:t>
      </w: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ascii="宋体" w:hAnsi="宋体"/>
          <w:b/>
          <w:color w:val="000000"/>
          <w:sz w:val="28"/>
          <w:szCs w:val="28"/>
        </w:rPr>
      </w:pPr>
    </w:p>
    <w:p>
      <w:pPr>
        <w:jc w:val="center"/>
        <w:rPr>
          <w:rFonts w:hint="eastAsia" w:ascii="宋体" w:hAnsi="宋体" w:eastAsia="宋体"/>
          <w:b/>
          <w:color w:val="000000"/>
          <w:sz w:val="84"/>
          <w:szCs w:val="84"/>
          <w:lang w:eastAsia="zh-CN"/>
        </w:rPr>
      </w:pPr>
      <w:r>
        <w:rPr>
          <w:rFonts w:hint="eastAsia" w:ascii="宋体" w:hAnsi="宋体"/>
          <w:b/>
          <w:color w:val="000000"/>
          <w:sz w:val="84"/>
          <w:szCs w:val="84"/>
        </w:rPr>
        <w:t xml:space="preserve">招 标 </w:t>
      </w:r>
      <w:r>
        <w:rPr>
          <w:rFonts w:hint="eastAsia" w:ascii="宋体" w:hAnsi="宋体"/>
          <w:b/>
          <w:color w:val="000000"/>
          <w:sz w:val="84"/>
          <w:szCs w:val="84"/>
          <w:lang w:eastAsia="zh-CN"/>
        </w:rPr>
        <w:t>公</w:t>
      </w:r>
      <w:r>
        <w:rPr>
          <w:rFonts w:hint="eastAsia" w:ascii="宋体" w:hAnsi="宋体"/>
          <w:b/>
          <w:color w:val="000000"/>
          <w:sz w:val="84"/>
          <w:szCs w:val="84"/>
          <w:lang w:val="en-US" w:eastAsia="zh-CN"/>
        </w:rPr>
        <w:t xml:space="preserve"> </w:t>
      </w:r>
      <w:r>
        <w:rPr>
          <w:rFonts w:hint="eastAsia" w:ascii="宋体" w:hAnsi="宋体"/>
          <w:b/>
          <w:color w:val="000000"/>
          <w:sz w:val="84"/>
          <w:szCs w:val="84"/>
          <w:lang w:eastAsia="zh-CN"/>
        </w:rPr>
        <w:t>告</w:t>
      </w:r>
    </w:p>
    <w:p>
      <w:pPr>
        <w:jc w:val="center"/>
        <w:rPr>
          <w:rFonts w:ascii="宋体" w:hAnsi="宋体"/>
          <w:b/>
          <w:color w:val="000000"/>
          <w:sz w:val="24"/>
          <w:szCs w:val="24"/>
        </w:rPr>
      </w:pPr>
    </w:p>
    <w:p>
      <w:pPr>
        <w:rPr>
          <w:rFonts w:hint="eastAsia" w:ascii="宋体" w:hAnsi="宋体"/>
          <w:b/>
          <w:color w:val="000000"/>
          <w:sz w:val="32"/>
          <w:szCs w:val="32"/>
        </w:rPr>
      </w:pPr>
    </w:p>
    <w:p>
      <w:pPr>
        <w:rPr>
          <w:rFonts w:hint="eastAsia"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ind w:firstLine="2108" w:firstLineChars="700"/>
        <w:jc w:val="left"/>
        <w:rPr>
          <w:rFonts w:hint="eastAsia" w:ascii="宋体" w:hAnsi="宋体" w:cs="宋体"/>
          <w:b/>
          <w:color w:val="000000"/>
          <w:sz w:val="30"/>
          <w:szCs w:val="30"/>
          <w:highlight w:val="none"/>
        </w:rPr>
      </w:pPr>
      <w:r>
        <w:rPr>
          <w:rFonts w:hint="eastAsia" w:ascii="宋体" w:hAnsi="宋体" w:cs="宋体"/>
          <w:b/>
          <w:color w:val="000000"/>
          <w:sz w:val="30"/>
          <w:szCs w:val="30"/>
        </w:rPr>
        <w:t>日期：</w:t>
      </w:r>
      <w:r>
        <w:rPr>
          <w:rFonts w:hint="eastAsia" w:ascii="宋体" w:hAnsi="宋体" w:cs="宋体"/>
          <w:b/>
          <w:color w:val="000000"/>
          <w:sz w:val="30"/>
          <w:szCs w:val="30"/>
          <w:highlight w:val="none"/>
        </w:rPr>
        <w:t>201</w:t>
      </w:r>
      <w:r>
        <w:rPr>
          <w:rFonts w:hint="eastAsia" w:ascii="宋体" w:hAnsi="宋体" w:cs="宋体"/>
          <w:b/>
          <w:color w:val="000000"/>
          <w:sz w:val="30"/>
          <w:szCs w:val="30"/>
          <w:highlight w:val="none"/>
          <w:lang w:val="en-US" w:eastAsia="zh-CN"/>
        </w:rPr>
        <w:t>5</w:t>
      </w:r>
      <w:r>
        <w:rPr>
          <w:rFonts w:hint="eastAsia" w:ascii="宋体" w:hAnsi="宋体" w:cs="宋体"/>
          <w:b/>
          <w:color w:val="000000"/>
          <w:sz w:val="30"/>
          <w:szCs w:val="30"/>
          <w:highlight w:val="none"/>
        </w:rPr>
        <w:t>年</w:t>
      </w:r>
      <w:r>
        <w:rPr>
          <w:rFonts w:hint="eastAsia" w:ascii="宋体" w:hAnsi="宋体" w:cs="宋体"/>
          <w:b/>
          <w:color w:val="000000"/>
          <w:sz w:val="30"/>
          <w:szCs w:val="30"/>
          <w:highlight w:val="none"/>
          <w:lang w:val="en-US" w:eastAsia="zh-CN"/>
        </w:rPr>
        <w:t xml:space="preserve">  10</w:t>
      </w:r>
      <w:r>
        <w:rPr>
          <w:rFonts w:hint="eastAsia" w:ascii="宋体" w:hAnsi="宋体" w:cs="宋体"/>
          <w:b/>
          <w:color w:val="000000"/>
          <w:sz w:val="30"/>
          <w:szCs w:val="30"/>
          <w:highlight w:val="none"/>
        </w:rPr>
        <w:t>月</w:t>
      </w:r>
      <w:r>
        <w:rPr>
          <w:rFonts w:hint="eastAsia" w:ascii="宋体" w:hAnsi="宋体" w:cs="宋体"/>
          <w:b/>
          <w:color w:val="000000"/>
          <w:sz w:val="30"/>
          <w:szCs w:val="30"/>
          <w:highlight w:val="none"/>
          <w:lang w:val="en-US" w:eastAsia="zh-CN"/>
        </w:rPr>
        <w:t xml:space="preserve">   29  </w:t>
      </w:r>
      <w:r>
        <w:rPr>
          <w:rFonts w:hint="eastAsia" w:ascii="宋体" w:hAnsi="宋体" w:cs="宋体"/>
          <w:b/>
          <w:color w:val="000000"/>
          <w:sz w:val="30"/>
          <w:szCs w:val="30"/>
          <w:highlight w:val="none"/>
        </w:rPr>
        <w:t>日</w:t>
      </w:r>
    </w:p>
    <w:p>
      <w:pPr>
        <w:ind w:firstLine="2108" w:firstLineChars="700"/>
        <w:jc w:val="left"/>
        <w:rPr>
          <w:rFonts w:hint="eastAsia" w:ascii="宋体" w:hAnsi="宋体" w:cs="宋体"/>
          <w:b/>
          <w:color w:val="000000"/>
          <w:sz w:val="30"/>
          <w:szCs w:val="30"/>
          <w:highlight w:val="none"/>
        </w:rPr>
      </w:pPr>
    </w:p>
    <w:p>
      <w:pPr>
        <w:ind w:firstLine="2108" w:firstLineChars="700"/>
        <w:jc w:val="left"/>
        <w:rPr>
          <w:rFonts w:hint="eastAsia" w:ascii="宋体" w:hAnsi="宋体" w:cs="宋体"/>
          <w:b/>
          <w:color w:val="000000"/>
          <w:sz w:val="30"/>
          <w:szCs w:val="30"/>
          <w:highlight w:val="none"/>
        </w:rPr>
      </w:pPr>
    </w:p>
    <w:p>
      <w:pPr>
        <w:ind w:firstLine="2108" w:firstLineChars="700"/>
        <w:jc w:val="left"/>
        <w:rPr>
          <w:rFonts w:hint="eastAsia" w:ascii="宋体" w:hAnsi="宋体" w:cs="宋体"/>
          <w:b/>
          <w:color w:val="000000"/>
          <w:sz w:val="30"/>
          <w:szCs w:val="30"/>
          <w:highlight w:val="none"/>
        </w:rPr>
      </w:pPr>
    </w:p>
    <w:p>
      <w:pPr>
        <w:autoSpaceDE w:val="0"/>
        <w:autoSpaceDN w:val="0"/>
        <w:adjustRightInd w:val="0"/>
        <w:jc w:val="both"/>
        <w:rPr>
          <w:rFonts w:hint="eastAsia" w:ascii="宋体" w:hAnsi="宋体" w:cs="黑体"/>
          <w:b/>
          <w:color w:val="000000"/>
          <w:kern w:val="0"/>
          <w:sz w:val="48"/>
          <w:szCs w:val="48"/>
        </w:rPr>
      </w:pPr>
    </w:p>
    <w:p>
      <w:pPr>
        <w:autoSpaceDE w:val="0"/>
        <w:autoSpaceDN w:val="0"/>
        <w:adjustRightInd w:val="0"/>
        <w:jc w:val="both"/>
        <w:rPr>
          <w:rFonts w:hint="eastAsia" w:ascii="宋体" w:hAnsi="宋体" w:cs="黑体"/>
          <w:b/>
          <w:color w:val="000000"/>
          <w:kern w:val="0"/>
          <w:sz w:val="48"/>
          <w:szCs w:val="48"/>
        </w:rPr>
        <w:sectPr>
          <w:headerReference r:id="rId4" w:type="first"/>
          <w:headerReference r:id="rId3" w:type="default"/>
          <w:pgSz w:w="11907" w:h="16840"/>
          <w:pgMar w:top="1440" w:right="1247" w:bottom="1120" w:left="1644" w:header="851" w:footer="992" w:gutter="0"/>
          <w:pgNumType w:fmt="numberInDash" w:start="1"/>
          <w:cols w:space="720" w:num="1"/>
          <w:docGrid w:linePitch="312" w:charSpace="0"/>
        </w:sectPr>
      </w:pPr>
    </w:p>
    <w:p>
      <w:pPr>
        <w:jc w:val="left"/>
        <w:rPr>
          <w:rFonts w:hint="eastAsia" w:ascii="微软雅黑" w:hAnsi="微软雅黑" w:eastAsia="微软雅黑"/>
          <w:b/>
          <w:color w:val="000000"/>
          <w:sz w:val="20"/>
        </w:rPr>
      </w:pPr>
      <w:bookmarkStart w:id="0" w:name="OLE_LINK7"/>
      <w:bookmarkStart w:id="1" w:name="OLE_LINK8"/>
      <w:bookmarkStart w:id="2" w:name="OLE_LINK1"/>
      <w:bookmarkStart w:id="3" w:name="OLE_LINK3"/>
      <w:bookmarkStart w:id="4" w:name="OLE_LINK4"/>
    </w:p>
    <w:p>
      <w:pPr>
        <w:jc w:val="left"/>
        <w:rPr>
          <w:rFonts w:ascii="微软雅黑" w:hAnsi="微软雅黑" w:eastAsia="微软雅黑"/>
          <w:b/>
          <w:color w:val="000000"/>
          <w:sz w:val="20"/>
        </w:rPr>
      </w:pPr>
      <w:r>
        <w:rPr>
          <w:rFonts w:hint="eastAsia" w:ascii="微软雅黑" w:hAnsi="微软雅黑" w:eastAsia="微软雅黑"/>
          <w:b/>
          <w:color w:val="000000"/>
          <w:sz w:val="20"/>
        </w:rPr>
        <w:t>一、招标条件</w:t>
      </w:r>
    </w:p>
    <w:p>
      <w:pPr>
        <w:spacing w:line="0" w:lineRule="atLeast"/>
        <w:ind w:firstLine="400" w:firstLineChars="200"/>
        <w:rPr>
          <w:rFonts w:hint="eastAsia" w:ascii="微软雅黑" w:hAnsi="微软雅黑" w:eastAsia="微软雅黑"/>
          <w:color w:val="000000"/>
          <w:sz w:val="20"/>
        </w:rPr>
      </w:pPr>
      <w:r>
        <w:rPr>
          <w:rFonts w:hint="eastAsia" w:ascii="微软雅黑" w:hAnsi="微软雅黑" w:eastAsia="微软雅黑"/>
          <w:color w:val="000000"/>
          <w:sz w:val="20"/>
        </w:rPr>
        <w:t>本招标</w:t>
      </w:r>
      <w:r>
        <w:rPr>
          <w:rFonts w:hint="eastAsia" w:ascii="微软雅黑" w:hAnsi="微软雅黑" w:eastAsia="微软雅黑"/>
          <w:color w:val="000000"/>
          <w:sz w:val="20"/>
          <w:lang w:eastAsia="zh-CN"/>
        </w:rPr>
        <w:t>项目吉林省吉林中西医结合医院医疗器械采购项目</w:t>
      </w:r>
      <w:r>
        <w:rPr>
          <w:rFonts w:hint="eastAsia" w:ascii="微软雅黑" w:hAnsi="微软雅黑" w:eastAsia="微软雅黑"/>
          <w:color w:val="000000"/>
          <w:sz w:val="20"/>
        </w:rPr>
        <w:t>已</w:t>
      </w:r>
      <w:r>
        <w:rPr>
          <w:rFonts w:hint="eastAsia" w:ascii="微软雅黑" w:hAnsi="微软雅黑" w:eastAsia="微软雅黑"/>
          <w:color w:val="000000"/>
          <w:sz w:val="20"/>
          <w:lang w:eastAsia="zh-CN"/>
        </w:rPr>
        <w:t>经医院党委会批准</w:t>
      </w:r>
      <w:r>
        <w:rPr>
          <w:rFonts w:hint="eastAsia" w:ascii="微软雅黑" w:hAnsi="微软雅黑" w:eastAsia="微软雅黑"/>
          <w:color w:val="000000"/>
          <w:sz w:val="20"/>
        </w:rPr>
        <w:t>实施采购，项目业主为</w:t>
      </w:r>
      <w:r>
        <w:rPr>
          <w:rFonts w:hint="eastAsia" w:ascii="微软雅黑" w:hAnsi="微软雅黑" w:eastAsia="微软雅黑"/>
          <w:color w:val="000000"/>
          <w:sz w:val="20"/>
          <w:u w:val="none"/>
          <w:lang w:eastAsia="zh-CN"/>
        </w:rPr>
        <w:t>吉林省吉林中西医结合医院</w:t>
      </w:r>
      <w:r>
        <w:rPr>
          <w:rFonts w:hint="eastAsia" w:ascii="微软雅黑" w:hAnsi="微软雅黑" w:eastAsia="微软雅黑"/>
          <w:color w:val="000000"/>
          <w:sz w:val="20"/>
        </w:rPr>
        <w:t>，项目已具备招标条件，现对该项目的采购进行公开招标。</w:t>
      </w:r>
    </w:p>
    <w:p>
      <w:pPr>
        <w:spacing w:line="0" w:lineRule="atLeast"/>
        <w:ind w:firstLine="400" w:firstLineChars="200"/>
        <w:rPr>
          <w:rFonts w:hint="eastAsia" w:ascii="微软雅黑" w:hAnsi="微软雅黑" w:eastAsia="微软雅黑"/>
          <w:color w:val="000000"/>
          <w:sz w:val="20"/>
        </w:rPr>
      </w:pPr>
      <w:r>
        <w:rPr>
          <w:rFonts w:hint="eastAsia" w:ascii="微软雅黑" w:hAnsi="微软雅黑" w:eastAsia="微软雅黑"/>
          <w:color w:val="000000"/>
          <w:sz w:val="20"/>
        </w:rPr>
        <w:t>二、项目概况及招标内容</w:t>
      </w:r>
    </w:p>
    <w:p>
      <w:pPr>
        <w:spacing w:line="0" w:lineRule="atLeast"/>
        <w:ind w:firstLine="400" w:firstLineChars="200"/>
        <w:rPr>
          <w:rFonts w:hint="eastAsia" w:ascii="微软雅黑" w:hAnsi="微软雅黑" w:eastAsia="微软雅黑"/>
          <w:color w:val="000000"/>
          <w:sz w:val="20"/>
          <w:lang w:eastAsia="zh-CN"/>
        </w:rPr>
      </w:pPr>
      <w:r>
        <w:rPr>
          <w:rFonts w:hint="eastAsia" w:ascii="微软雅黑" w:hAnsi="微软雅黑" w:eastAsia="微软雅黑"/>
          <w:color w:val="000000"/>
          <w:sz w:val="20"/>
          <w:lang w:eastAsia="zh-CN"/>
        </w:rPr>
        <w:t>招标内容：骨科高值医疗器械（具体详见招标文件）</w:t>
      </w:r>
    </w:p>
    <w:p>
      <w:pPr>
        <w:spacing w:line="0" w:lineRule="atLeast"/>
        <w:ind w:firstLine="400" w:firstLineChars="200"/>
        <w:rPr>
          <w:rFonts w:hint="eastAsia" w:ascii="微软雅黑" w:hAnsi="微软雅黑" w:eastAsia="微软雅黑"/>
          <w:color w:val="000000"/>
          <w:sz w:val="20"/>
          <w:lang w:val="en-US" w:eastAsia="zh-CN"/>
        </w:rPr>
      </w:pPr>
      <w:r>
        <w:rPr>
          <w:rFonts w:hint="eastAsia" w:ascii="微软雅黑" w:hAnsi="微软雅黑" w:eastAsia="微软雅黑"/>
          <w:color w:val="000000"/>
          <w:sz w:val="20"/>
          <w:lang w:eastAsia="zh-CN"/>
        </w:rPr>
        <w:t>采购标的：</w:t>
      </w:r>
    </w:p>
    <w:p>
      <w:pPr>
        <w:spacing w:line="0" w:lineRule="atLeast"/>
        <w:ind w:firstLine="400" w:firstLineChars="200"/>
        <w:rPr>
          <w:rFonts w:hint="eastAsia" w:ascii="微软雅黑" w:hAnsi="微软雅黑" w:eastAsia="微软雅黑"/>
          <w:color w:val="000000"/>
          <w:sz w:val="20"/>
          <w:lang w:val="en-US" w:eastAsia="zh-CN"/>
        </w:rPr>
      </w:pPr>
      <w:r>
        <w:rPr>
          <w:rFonts w:hint="eastAsia" w:ascii="微软雅黑" w:hAnsi="微软雅黑" w:eastAsia="微软雅黑"/>
          <w:color w:val="000000"/>
          <w:sz w:val="20"/>
          <w:lang w:val="en-US" w:eastAsia="zh-CN"/>
        </w:rPr>
        <w:t>质量要求：符合本项目技术参数的合格技术标准。</w:t>
      </w:r>
    </w:p>
    <w:p>
      <w:pPr>
        <w:spacing w:line="0" w:lineRule="atLeast"/>
        <w:ind w:firstLine="400" w:firstLineChars="200"/>
        <w:rPr>
          <w:rFonts w:ascii="微软雅黑" w:hAnsi="微软雅黑" w:eastAsia="微软雅黑"/>
          <w:color w:val="000000"/>
          <w:sz w:val="20"/>
        </w:rPr>
      </w:pPr>
      <w:r>
        <w:rPr>
          <w:rFonts w:hint="eastAsia" w:ascii="微软雅黑" w:hAnsi="微软雅黑" w:eastAsia="微软雅黑"/>
          <w:color w:val="000000"/>
          <w:sz w:val="20"/>
        </w:rPr>
        <w:t>供货期：</w:t>
      </w:r>
      <w:r>
        <w:rPr>
          <w:rFonts w:hint="eastAsia" w:ascii="微软雅黑" w:hAnsi="微软雅黑" w:eastAsia="微软雅黑"/>
          <w:color w:val="000000"/>
          <w:sz w:val="20"/>
          <w:highlight w:val="none"/>
        </w:rPr>
        <w:t>合同签订后</w:t>
      </w:r>
      <w:r>
        <w:rPr>
          <w:rFonts w:hint="eastAsia" w:ascii="微软雅黑" w:hAnsi="微软雅黑" w:eastAsia="微软雅黑"/>
          <w:color w:val="000000"/>
          <w:sz w:val="20"/>
          <w:highlight w:val="none"/>
          <w:lang w:val="en-US" w:eastAsia="zh-CN"/>
        </w:rPr>
        <w:t>1</w:t>
      </w:r>
      <w:r>
        <w:rPr>
          <w:rFonts w:hint="eastAsia" w:ascii="微软雅黑" w:hAnsi="微软雅黑" w:eastAsia="微软雅黑"/>
          <w:color w:val="000000"/>
          <w:sz w:val="20"/>
          <w:highlight w:val="none"/>
        </w:rPr>
        <w:t>日历天内供货</w:t>
      </w:r>
    </w:p>
    <w:p>
      <w:pPr>
        <w:spacing w:line="0" w:lineRule="atLeast"/>
        <w:ind w:firstLine="400" w:firstLineChars="200"/>
        <w:rPr>
          <w:rFonts w:ascii="微软雅黑" w:hAnsi="微软雅黑" w:eastAsia="微软雅黑"/>
          <w:color w:val="000000"/>
          <w:sz w:val="20"/>
        </w:rPr>
      </w:pPr>
      <w:r>
        <w:rPr>
          <w:rFonts w:hint="eastAsia" w:ascii="微软雅黑" w:hAnsi="微软雅黑" w:eastAsia="微软雅黑"/>
          <w:color w:val="000000"/>
          <w:sz w:val="20"/>
        </w:rPr>
        <w:t>供货地点：</w:t>
      </w:r>
      <w:r>
        <w:rPr>
          <w:rFonts w:hint="eastAsia" w:ascii="微软雅黑" w:hAnsi="微软雅黑" w:eastAsia="微软雅黑"/>
          <w:color w:val="000000"/>
          <w:sz w:val="20"/>
          <w:highlight w:val="none"/>
          <w:u w:val="none"/>
          <w:lang w:eastAsia="zh-CN"/>
        </w:rPr>
        <w:t>吉林市船营区长春路</w:t>
      </w:r>
      <w:r>
        <w:rPr>
          <w:rFonts w:hint="eastAsia" w:ascii="微软雅黑" w:hAnsi="微软雅黑" w:eastAsia="微软雅黑"/>
          <w:color w:val="000000"/>
          <w:sz w:val="20"/>
          <w:highlight w:val="none"/>
          <w:u w:val="none"/>
          <w:lang w:val="en-US" w:eastAsia="zh-CN"/>
        </w:rPr>
        <w:t>9号</w:t>
      </w:r>
      <w:r>
        <w:rPr>
          <w:rFonts w:hint="eastAsia" w:ascii="微软雅黑" w:hAnsi="微软雅黑" w:eastAsia="微软雅黑"/>
          <w:color w:val="000000"/>
          <w:sz w:val="20"/>
        </w:rPr>
        <w:t>。</w:t>
      </w:r>
    </w:p>
    <w:p>
      <w:pPr>
        <w:spacing w:line="0" w:lineRule="atLeast"/>
        <w:rPr>
          <w:rFonts w:ascii="微软雅黑" w:hAnsi="微软雅黑" w:eastAsia="微软雅黑"/>
          <w:b/>
          <w:color w:val="000000"/>
          <w:sz w:val="20"/>
        </w:rPr>
      </w:pPr>
      <w:r>
        <w:rPr>
          <w:rFonts w:hint="eastAsia" w:ascii="微软雅黑" w:hAnsi="微软雅黑" w:eastAsia="微软雅黑"/>
          <w:b/>
          <w:color w:val="000000"/>
          <w:sz w:val="20"/>
        </w:rPr>
        <w:t>三、投标供应商资格要求</w:t>
      </w:r>
    </w:p>
    <w:p>
      <w:pPr>
        <w:spacing w:line="0" w:lineRule="atLeast"/>
        <w:ind w:firstLine="400" w:firstLineChars="200"/>
        <w:rPr>
          <w:rFonts w:hint="eastAsia" w:ascii="微软雅黑" w:hAnsi="微软雅黑" w:eastAsia="微软雅黑" w:cs="微软雅黑"/>
          <w:color w:val="000000"/>
          <w:kern w:val="0"/>
          <w:sz w:val="20"/>
        </w:rPr>
      </w:pPr>
      <w:r>
        <w:rPr>
          <w:rFonts w:hint="eastAsia" w:ascii="微软雅黑" w:hAnsi="微软雅黑" w:eastAsia="微软雅黑" w:cs="微软雅黑"/>
          <w:color w:val="000000"/>
          <w:kern w:val="0"/>
          <w:sz w:val="20"/>
        </w:rPr>
        <w:t>提供下列材料：</w:t>
      </w:r>
      <w:r>
        <w:rPr>
          <w:rFonts w:hint="eastAsia" w:ascii="微软雅黑" w:hAnsi="微软雅黑" w:eastAsia="微软雅黑" w:cs="微软雅黑"/>
          <w:color w:val="000000"/>
          <w:kern w:val="0"/>
          <w:sz w:val="20"/>
        </w:rPr>
        <w:br w:type="textWrapping"/>
      </w:r>
      <w:r>
        <w:rPr>
          <w:rFonts w:hint="eastAsia" w:ascii="微软雅黑" w:hAnsi="微软雅黑" w:eastAsia="微软雅黑" w:cs="微软雅黑"/>
          <w:color w:val="000000"/>
          <w:kern w:val="0"/>
          <w:sz w:val="20"/>
        </w:rPr>
        <w:t xml:space="preserve">    1、法人或者其他组织的营业执照等证明文件，自然人的身份证明</w:t>
      </w:r>
    </w:p>
    <w:p>
      <w:pPr>
        <w:spacing w:line="0" w:lineRule="atLeast"/>
        <w:ind w:firstLine="400" w:firstLineChars="200"/>
        <w:rPr>
          <w:rFonts w:ascii="微软雅黑" w:hAnsi="微软雅黑" w:eastAsia="微软雅黑" w:cs="微软雅黑"/>
          <w:color w:val="000000"/>
          <w:kern w:val="0"/>
          <w:sz w:val="20"/>
        </w:rPr>
      </w:pPr>
      <w:r>
        <w:rPr>
          <w:rFonts w:hint="eastAsia" w:ascii="微软雅黑" w:hAnsi="微软雅黑" w:eastAsia="微软雅黑" w:cs="微软雅黑"/>
          <w:color w:val="000000"/>
          <w:kern w:val="0"/>
          <w:sz w:val="20"/>
        </w:rPr>
        <w:t>2、财务状况报告，依法缴纳税收和社会保障资金的相关材料；</w:t>
      </w:r>
    </w:p>
    <w:p>
      <w:pPr>
        <w:spacing w:line="0" w:lineRule="atLeast"/>
        <w:ind w:firstLine="400" w:firstLineChars="200"/>
        <w:rPr>
          <w:rFonts w:ascii="微软雅黑" w:hAnsi="微软雅黑" w:eastAsia="微软雅黑" w:cs="微软雅黑"/>
          <w:color w:val="000000"/>
          <w:kern w:val="0"/>
          <w:sz w:val="20"/>
        </w:rPr>
      </w:pPr>
      <w:r>
        <w:rPr>
          <w:rFonts w:hint="eastAsia" w:ascii="微软雅黑" w:hAnsi="微软雅黑" w:eastAsia="微软雅黑" w:cs="微软雅黑"/>
          <w:color w:val="000000"/>
          <w:kern w:val="0"/>
          <w:sz w:val="20"/>
        </w:rPr>
        <w:t>3、具备履行合同所必需的设备和专业技术能力的证明材料；</w:t>
      </w:r>
    </w:p>
    <w:p>
      <w:pPr>
        <w:spacing w:line="0" w:lineRule="atLeast"/>
        <w:ind w:firstLine="400" w:firstLineChars="200"/>
        <w:rPr>
          <w:rFonts w:ascii="微软雅黑" w:hAnsi="微软雅黑" w:eastAsia="微软雅黑" w:cs="微软雅黑"/>
          <w:color w:val="000000"/>
          <w:kern w:val="0"/>
          <w:sz w:val="20"/>
        </w:rPr>
      </w:pPr>
      <w:r>
        <w:rPr>
          <w:rFonts w:hint="eastAsia" w:ascii="微软雅黑" w:hAnsi="微软雅黑" w:eastAsia="微软雅黑" w:cs="微软雅黑"/>
          <w:color w:val="000000"/>
          <w:kern w:val="0"/>
          <w:sz w:val="20"/>
          <w:lang w:val="en-US" w:eastAsia="zh-CN"/>
        </w:rPr>
        <w:t>4</w:t>
      </w:r>
      <w:r>
        <w:rPr>
          <w:rFonts w:hint="eastAsia" w:ascii="微软雅黑" w:hAnsi="微软雅黑" w:eastAsia="微软雅黑" w:cs="微软雅黑"/>
          <w:color w:val="000000"/>
          <w:kern w:val="0"/>
          <w:sz w:val="20"/>
        </w:rPr>
        <w:t>、具备法律、行政法规规定的其他条件的证明材料。</w:t>
      </w:r>
    </w:p>
    <w:p>
      <w:pPr>
        <w:spacing w:line="0" w:lineRule="atLeast"/>
        <w:ind w:firstLine="400" w:firstLineChars="200"/>
        <w:rPr>
          <w:rFonts w:ascii="微软雅黑" w:hAnsi="微软雅黑" w:eastAsia="微软雅黑" w:cs="微软雅黑"/>
          <w:color w:val="000000"/>
          <w:kern w:val="0"/>
          <w:sz w:val="20"/>
        </w:rPr>
      </w:pPr>
      <w:r>
        <w:rPr>
          <w:rFonts w:hint="eastAsia" w:ascii="微软雅黑" w:hAnsi="微软雅黑" w:eastAsia="微软雅黑" w:cs="微软雅黑"/>
          <w:color w:val="000000"/>
          <w:kern w:val="0"/>
          <w:sz w:val="20"/>
          <w:lang w:val="en-US" w:eastAsia="zh-CN"/>
        </w:rPr>
        <w:t>5</w:t>
      </w:r>
      <w:r>
        <w:rPr>
          <w:rFonts w:hint="eastAsia" w:ascii="微软雅黑" w:hAnsi="微软雅黑" w:eastAsia="微软雅黑" w:cs="微软雅黑"/>
          <w:color w:val="000000"/>
          <w:kern w:val="0"/>
          <w:sz w:val="20"/>
        </w:rPr>
        <w:t>、企业名称不同但法定代表人为同一个自然人的两个或者两个以上的投标人不得参加同一采购项目的投标。如果出现上述情况，相关投标人的投标均将被拒绝。</w:t>
      </w:r>
    </w:p>
    <w:p>
      <w:pPr>
        <w:spacing w:line="0" w:lineRule="atLeast"/>
        <w:ind w:firstLine="400" w:firstLineChars="200"/>
        <w:rPr>
          <w:rFonts w:hint="eastAsia" w:ascii="微软雅黑" w:hAnsi="微软雅黑" w:eastAsia="微软雅黑" w:cs="微软雅黑"/>
          <w:color w:val="000000"/>
          <w:kern w:val="0"/>
          <w:sz w:val="20"/>
        </w:rPr>
      </w:pPr>
      <w:r>
        <w:rPr>
          <w:rFonts w:hint="eastAsia" w:ascii="微软雅黑" w:hAnsi="微软雅黑" w:eastAsia="微软雅黑" w:cs="微软雅黑"/>
          <w:color w:val="000000"/>
          <w:kern w:val="0"/>
          <w:sz w:val="20"/>
          <w:lang w:val="en-US" w:eastAsia="zh-CN"/>
        </w:rPr>
        <w:t>6</w:t>
      </w:r>
      <w:r>
        <w:rPr>
          <w:rFonts w:hint="eastAsia" w:ascii="微软雅黑" w:hAnsi="微软雅黑" w:eastAsia="微软雅黑" w:cs="微软雅黑"/>
          <w:color w:val="000000"/>
          <w:kern w:val="0"/>
          <w:sz w:val="20"/>
        </w:rPr>
        <w:t>、在中国境内依法登记注册并仍有效存续的供应商，具有本次招标项目的经营范围。</w:t>
      </w:r>
    </w:p>
    <w:p>
      <w:pPr>
        <w:spacing w:line="0" w:lineRule="atLeast"/>
        <w:ind w:firstLine="400" w:firstLineChars="200"/>
        <w:rPr>
          <w:rFonts w:hint="eastAsia" w:ascii="微软雅黑" w:hAnsi="微软雅黑" w:eastAsia="微软雅黑" w:cs="微软雅黑"/>
          <w:color w:val="000000"/>
          <w:kern w:val="0"/>
          <w:sz w:val="20"/>
          <w:highlight w:val="none"/>
          <w:lang w:val="en-US" w:eastAsia="zh-CN"/>
        </w:rPr>
      </w:pPr>
      <w:r>
        <w:rPr>
          <w:rFonts w:hint="eastAsia" w:ascii="微软雅黑" w:hAnsi="微软雅黑" w:eastAsia="微软雅黑" w:cs="微软雅黑"/>
          <w:color w:val="000000"/>
          <w:kern w:val="0"/>
          <w:sz w:val="20"/>
          <w:lang w:val="en-US" w:eastAsia="zh-CN"/>
        </w:rPr>
        <w:t>7、</w:t>
      </w:r>
      <w:r>
        <w:rPr>
          <w:rFonts w:hint="eastAsia" w:ascii="微软雅黑" w:hAnsi="微软雅黑" w:eastAsia="微软雅黑" w:cs="微软雅黑"/>
          <w:color w:val="000000"/>
          <w:sz w:val="20"/>
        </w:rPr>
        <w:t>投标人需</w:t>
      </w:r>
      <w:r>
        <w:rPr>
          <w:rFonts w:hint="eastAsia" w:ascii="微软雅黑" w:hAnsi="微软雅黑" w:eastAsia="微软雅黑" w:cs="微软雅黑"/>
          <w:color w:val="000000"/>
          <w:sz w:val="20"/>
          <w:szCs w:val="20"/>
        </w:rPr>
        <w:t>同时具备</w:t>
      </w:r>
      <w:r>
        <w:rPr>
          <w:rFonts w:hint="eastAsia" w:ascii="微软雅黑" w:hAnsi="微软雅黑" w:eastAsia="微软雅黑" w:cs="微软雅黑"/>
          <w:color w:val="000000"/>
          <w:sz w:val="20"/>
          <w:szCs w:val="20"/>
          <w:highlight w:val="none"/>
        </w:rPr>
        <w:t>《医疗器械经营许可证》或《医疗器械生产企业许可证》、《医疗器械注册证》</w:t>
      </w:r>
      <w:r>
        <w:rPr>
          <w:rFonts w:hint="eastAsia" w:ascii="微软雅黑" w:hAnsi="微软雅黑" w:eastAsia="微软雅黑" w:cs="微软雅黑"/>
          <w:color w:val="000000"/>
          <w:sz w:val="20"/>
          <w:szCs w:val="20"/>
          <w:highlight w:val="none"/>
          <w:lang w:eastAsia="zh-CN"/>
        </w:rPr>
        <w:t>、</w:t>
      </w:r>
      <w:r>
        <w:rPr>
          <w:rFonts w:hint="eastAsia" w:ascii="微软雅黑" w:hAnsi="微软雅黑" w:eastAsia="微软雅黑" w:cs="微软雅黑"/>
          <w:color w:val="000000"/>
          <w:sz w:val="20"/>
          <w:szCs w:val="20"/>
          <w:highlight w:val="none"/>
        </w:rPr>
        <w:t>《医疗器械产品注册登记表》。</w:t>
      </w:r>
    </w:p>
    <w:p>
      <w:pPr>
        <w:spacing w:line="0" w:lineRule="atLeast"/>
        <w:ind w:firstLine="400" w:firstLineChars="200"/>
        <w:rPr>
          <w:rFonts w:hint="eastAsia" w:ascii="微软雅黑" w:hAnsi="微软雅黑" w:eastAsia="微软雅黑" w:cs="微软雅黑"/>
          <w:color w:val="000000"/>
          <w:kern w:val="0"/>
          <w:sz w:val="20"/>
        </w:rPr>
      </w:pPr>
      <w:r>
        <w:rPr>
          <w:rFonts w:hint="eastAsia" w:ascii="微软雅黑" w:hAnsi="微软雅黑" w:eastAsia="微软雅黑" w:cs="微软雅黑"/>
          <w:color w:val="000000"/>
          <w:kern w:val="0"/>
          <w:sz w:val="20"/>
          <w:lang w:val="en-US" w:eastAsia="zh-CN"/>
        </w:rPr>
        <w:t>8</w:t>
      </w:r>
      <w:r>
        <w:rPr>
          <w:rFonts w:hint="eastAsia" w:ascii="微软雅黑" w:hAnsi="微软雅黑" w:eastAsia="微软雅黑" w:cs="微软雅黑"/>
          <w:color w:val="000000"/>
          <w:kern w:val="0"/>
          <w:sz w:val="20"/>
        </w:rPr>
        <w:t>、本项目不接受联合体投标。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bCs/>
          <w:spacing w:val="-20"/>
          <w:sz w:val="20"/>
          <w:szCs w:val="20"/>
          <w:lang w:eastAsia="zh-CN"/>
        </w:rPr>
      </w:pPr>
      <w:r>
        <w:rPr>
          <w:rFonts w:hint="eastAsia" w:ascii="微软雅黑" w:hAnsi="微软雅黑" w:eastAsia="微软雅黑" w:cs="微软雅黑"/>
          <w:b/>
          <w:bCs/>
          <w:spacing w:val="-20"/>
          <w:sz w:val="20"/>
          <w:szCs w:val="20"/>
          <w:lang w:eastAsia="zh-CN"/>
        </w:rPr>
        <w:t>四、付款方式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15" w:leftChars="0" w:right="0" w:rightChars="0"/>
        <w:textAlignment w:val="auto"/>
        <w:rPr>
          <w:rFonts w:hint="eastAsia" w:ascii="微软雅黑" w:hAnsi="微软雅黑" w:eastAsia="微软雅黑" w:cs="微软雅黑"/>
          <w:b w:val="0"/>
          <w:bCs w:val="0"/>
          <w:sz w:val="20"/>
          <w:szCs w:val="20"/>
        </w:rPr>
      </w:pPr>
      <w:r>
        <w:rPr>
          <w:rFonts w:hint="eastAsia" w:ascii="微软雅黑" w:hAnsi="微软雅黑" w:eastAsia="微软雅黑" w:cs="微软雅黑"/>
          <w:b/>
          <w:bCs/>
          <w:spacing w:val="-20"/>
          <w:sz w:val="20"/>
          <w:szCs w:val="20"/>
          <w:lang w:val="en-US" w:eastAsia="zh-CN"/>
        </w:rPr>
        <w:t xml:space="preserve">     </w:t>
      </w:r>
      <w:r>
        <w:rPr>
          <w:rFonts w:hint="eastAsia" w:ascii="微软雅黑" w:hAnsi="微软雅黑" w:eastAsia="微软雅黑" w:cs="微软雅黑"/>
          <w:b w:val="0"/>
          <w:bCs w:val="0"/>
          <w:spacing w:val="0"/>
          <w:sz w:val="20"/>
          <w:szCs w:val="20"/>
        </w:rPr>
        <w:t>经甲方质量检验合格且收到乙方增值税发票</w:t>
      </w:r>
      <w:r>
        <w:rPr>
          <w:rFonts w:hint="eastAsia" w:ascii="微软雅黑" w:hAnsi="微软雅黑" w:eastAsia="微软雅黑" w:cs="微软雅黑"/>
          <w:b w:val="0"/>
          <w:bCs w:val="0"/>
          <w:spacing w:val="0"/>
          <w:sz w:val="20"/>
          <w:szCs w:val="20"/>
          <w:lang w:eastAsia="zh-CN"/>
        </w:rPr>
        <w:t>一</w:t>
      </w:r>
      <w:r>
        <w:rPr>
          <w:rFonts w:hint="eastAsia" w:ascii="微软雅黑" w:hAnsi="微软雅黑" w:eastAsia="微软雅黑" w:cs="微软雅黑"/>
          <w:b w:val="0"/>
          <w:bCs w:val="0"/>
          <w:spacing w:val="0"/>
          <w:sz w:val="20"/>
          <w:szCs w:val="20"/>
        </w:rPr>
        <w:t>个月后付款</w:t>
      </w:r>
      <w:r>
        <w:rPr>
          <w:rFonts w:hint="eastAsia" w:ascii="微软雅黑" w:hAnsi="微软雅黑" w:eastAsia="微软雅黑" w:cs="微软雅黑"/>
          <w:b w:val="0"/>
          <w:bCs w:val="0"/>
          <w:spacing w:val="0"/>
          <w:sz w:val="20"/>
          <w:szCs w:val="20"/>
          <w:lang w:eastAsia="zh-CN"/>
        </w:rPr>
        <w:t>，具体付款方式以合同为准</w:t>
      </w:r>
      <w:r>
        <w:rPr>
          <w:rFonts w:hint="eastAsia" w:ascii="微软雅黑" w:hAnsi="微软雅黑" w:eastAsia="微软雅黑" w:cs="微软雅黑"/>
          <w:b w:val="0"/>
          <w:bCs w:val="0"/>
          <w:sz w:val="20"/>
          <w:szCs w:val="20"/>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五、</w:t>
      </w:r>
      <w:r>
        <w:rPr>
          <w:rFonts w:hint="eastAsia" w:ascii="微软雅黑" w:hAnsi="微软雅黑" w:eastAsia="微软雅黑" w:cs="微软雅黑"/>
          <w:b/>
          <w:bCs/>
          <w:sz w:val="20"/>
          <w:szCs w:val="20"/>
        </w:rPr>
        <w:t xml:space="preserve">开标及评标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0" w:right="0" w:rightChars="0"/>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开标会由招标方主持，投标方派代表参加。投标人未按规定时间到场，视为自动放弃。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0" w:right="0" w:rightChars="0"/>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开标由双方检验文件密封情况，无误后开启投标文件。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Chars="0" w:right="0" w:rightChars="0"/>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采用公开唱标形式。 </w:t>
      </w:r>
    </w:p>
    <w:p>
      <w:pPr>
        <w:pageBreakBefore w:val="0"/>
        <w:widowControl w:val="0"/>
        <w:numPr>
          <w:ilvl w:val="0"/>
          <w:numId w:val="1"/>
        </w:numPr>
        <w:kinsoku/>
        <w:wordWrap/>
        <w:overflowPunct/>
        <w:topLinePunct w:val="0"/>
        <w:autoSpaceDE/>
        <w:autoSpaceDN/>
        <w:bidi w:val="0"/>
        <w:adjustRightInd/>
        <w:snapToGrid/>
        <w:spacing w:line="420" w:lineRule="exact"/>
        <w:ind w:leftChars="0" w:right="0" w:rightChars="0"/>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 xml:space="preserve">定标准则 </w:t>
      </w:r>
    </w:p>
    <w:p>
      <w:pPr>
        <w:pageBreakBefore w:val="0"/>
        <w:widowControl w:val="0"/>
        <w:numPr>
          <w:ilvl w:val="0"/>
          <w:numId w:val="2"/>
        </w:numPr>
        <w:kinsoku/>
        <w:wordWrap/>
        <w:overflowPunct/>
        <w:topLinePunct w:val="0"/>
        <w:autoSpaceDE/>
        <w:autoSpaceDN/>
        <w:bidi w:val="0"/>
        <w:adjustRightInd/>
        <w:snapToGrid/>
        <w:spacing w:line="420" w:lineRule="exact"/>
        <w:ind w:left="105" w:leftChars="0" w:right="0" w:rightChars="0" w:firstLine="0" w:firstLineChars="0"/>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招标方有权就投标文件中的内容向投标方提出询问或澄清。招标人将组织评标小组，对已就招标档作出实质性响应的投标档进行评估和比较。评标小组对所有投标人的投标书采用同一标准进行评审。</w:t>
      </w:r>
    </w:p>
    <w:p>
      <w:pPr>
        <w:pageBreakBefore w:val="0"/>
        <w:widowControl w:val="0"/>
        <w:numPr>
          <w:ilvl w:val="0"/>
          <w:numId w:val="2"/>
        </w:numPr>
        <w:kinsoku/>
        <w:wordWrap/>
        <w:overflowPunct/>
        <w:topLinePunct w:val="0"/>
        <w:autoSpaceDE/>
        <w:autoSpaceDN/>
        <w:bidi w:val="0"/>
        <w:adjustRightInd/>
        <w:snapToGrid/>
        <w:spacing w:line="420" w:lineRule="exact"/>
        <w:ind w:left="105" w:leftChars="0" w:right="0" w:rightChars="0" w:firstLine="0" w:firstLineChars="0"/>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评标时除考虑投标报价以外，还将考虑以下因素：经营信誉、</w:t>
      </w:r>
      <w:r>
        <w:rPr>
          <w:rFonts w:hint="eastAsia" w:ascii="微软雅黑" w:hAnsi="微软雅黑" w:eastAsia="微软雅黑" w:cs="微软雅黑"/>
          <w:sz w:val="20"/>
          <w:szCs w:val="20"/>
          <w:lang w:eastAsia="zh-CN"/>
        </w:rPr>
        <w:t>设备</w:t>
      </w:r>
      <w:r>
        <w:rPr>
          <w:rFonts w:hint="eastAsia" w:ascii="微软雅黑" w:hAnsi="微软雅黑" w:eastAsia="微软雅黑" w:cs="微软雅黑"/>
          <w:sz w:val="20"/>
          <w:szCs w:val="20"/>
        </w:rPr>
        <w:t xml:space="preserve">质量、售后服务、供货能力、其他承诺及优惠条件、付款方式等综合比较最优。 </w:t>
      </w:r>
    </w:p>
    <w:p>
      <w:pPr>
        <w:pageBreakBefore w:val="0"/>
        <w:widowControl w:val="0"/>
        <w:numPr>
          <w:ilvl w:val="0"/>
          <w:numId w:val="2"/>
        </w:numPr>
        <w:kinsoku/>
        <w:wordWrap/>
        <w:overflowPunct/>
        <w:topLinePunct w:val="0"/>
        <w:autoSpaceDE/>
        <w:autoSpaceDN/>
        <w:bidi w:val="0"/>
        <w:adjustRightInd/>
        <w:snapToGrid/>
        <w:spacing w:line="420" w:lineRule="exact"/>
        <w:ind w:left="105" w:leftChars="0" w:right="0" w:rightChars="0" w:firstLine="0" w:firstLineChars="0"/>
        <w:textAlignment w:val="auto"/>
        <w:rPr>
          <w:rFonts w:hint="eastAsia" w:ascii="微软雅黑" w:hAnsi="微软雅黑" w:eastAsia="微软雅黑" w:cs="微软雅黑"/>
          <w:sz w:val="20"/>
          <w:szCs w:val="20"/>
        </w:rPr>
      </w:pPr>
      <w:r>
        <w:rPr>
          <w:rFonts w:hint="eastAsia" w:ascii="微软雅黑" w:hAnsi="微软雅黑" w:eastAsia="微软雅黑" w:cs="微软雅黑"/>
          <w:sz w:val="20"/>
          <w:szCs w:val="20"/>
        </w:rPr>
        <w:t>招标方将于</w:t>
      </w:r>
      <w:r>
        <w:rPr>
          <w:rFonts w:hint="eastAsia" w:ascii="微软雅黑" w:hAnsi="微软雅黑" w:eastAsia="微软雅黑" w:cs="微软雅黑"/>
          <w:sz w:val="20"/>
          <w:szCs w:val="20"/>
          <w:lang w:eastAsia="zh-CN"/>
        </w:rPr>
        <w:t>评标结束后七个工作</w:t>
      </w:r>
      <w:r>
        <w:rPr>
          <w:rFonts w:hint="eastAsia" w:ascii="微软雅黑" w:hAnsi="微软雅黑" w:eastAsia="微软雅黑" w:cs="微软雅黑"/>
          <w:sz w:val="20"/>
          <w:szCs w:val="20"/>
        </w:rPr>
        <w:t xml:space="preserve">日内通知中标单位。 </w:t>
      </w:r>
    </w:p>
    <w:p>
      <w:pPr>
        <w:spacing w:line="0" w:lineRule="atLeast"/>
        <w:rPr>
          <w:rFonts w:ascii="微软雅黑" w:hAnsi="微软雅黑" w:eastAsia="微软雅黑"/>
          <w:b/>
          <w:color w:val="000000"/>
          <w:sz w:val="20"/>
        </w:rPr>
      </w:pPr>
      <w:r>
        <w:rPr>
          <w:rFonts w:hint="eastAsia" w:ascii="微软雅黑" w:hAnsi="微软雅黑" w:eastAsia="微软雅黑"/>
          <w:b/>
          <w:color w:val="000000"/>
          <w:sz w:val="20"/>
          <w:lang w:eastAsia="zh-CN"/>
        </w:rPr>
        <w:t>六</w:t>
      </w:r>
      <w:r>
        <w:rPr>
          <w:rFonts w:hint="eastAsia" w:ascii="微软雅黑" w:hAnsi="微软雅黑" w:eastAsia="微软雅黑"/>
          <w:b/>
          <w:color w:val="000000"/>
          <w:sz w:val="20"/>
        </w:rPr>
        <w:t>、投标文件的递交</w:t>
      </w:r>
    </w:p>
    <w:p>
      <w:pPr>
        <w:keepNext w:val="0"/>
        <w:keepLines w:val="0"/>
        <w:pageBreakBefore w:val="0"/>
        <w:widowControl w:val="0"/>
        <w:kinsoku/>
        <w:wordWrap/>
        <w:overflowPunct/>
        <w:topLinePunct w:val="0"/>
        <w:autoSpaceDE/>
        <w:autoSpaceDN/>
        <w:bidi w:val="0"/>
        <w:adjustRightInd/>
        <w:snapToGrid/>
        <w:spacing w:line="240" w:lineRule="auto"/>
        <w:ind w:firstLine="585"/>
        <w:textAlignment w:val="auto"/>
        <w:rPr>
          <w:rFonts w:hint="eastAsia" w:ascii="微软雅黑" w:hAnsi="微软雅黑" w:eastAsia="微软雅黑"/>
          <w:color w:val="auto"/>
          <w:sz w:val="20"/>
        </w:rPr>
      </w:pPr>
      <w:r>
        <w:rPr>
          <w:rFonts w:hint="eastAsia" w:ascii="微软雅黑" w:hAnsi="微软雅黑" w:eastAsia="微软雅黑"/>
          <w:color w:val="auto"/>
          <w:sz w:val="20"/>
        </w:rPr>
        <w:t>1</w:t>
      </w:r>
      <w:r>
        <w:rPr>
          <w:rFonts w:ascii="微软雅黑" w:hAnsi="微软雅黑" w:eastAsia="微软雅黑"/>
          <w:color w:val="auto"/>
          <w:sz w:val="20"/>
        </w:rPr>
        <w:t xml:space="preserve"> </w:t>
      </w:r>
      <w:r>
        <w:rPr>
          <w:rFonts w:hint="eastAsia" w:ascii="微软雅黑" w:hAnsi="微软雅黑" w:eastAsia="微软雅黑"/>
          <w:color w:val="auto"/>
          <w:sz w:val="20"/>
        </w:rPr>
        <w:t>、开标时间及递交投标文件截</w:t>
      </w:r>
      <w:r>
        <w:rPr>
          <w:rFonts w:hint="eastAsia" w:ascii="微软雅黑" w:hAnsi="微软雅黑" w:eastAsia="微软雅黑"/>
          <w:color w:val="auto"/>
          <w:sz w:val="20"/>
          <w:highlight w:val="none"/>
        </w:rPr>
        <w:t>止时间为</w:t>
      </w:r>
      <w:r>
        <w:rPr>
          <w:rFonts w:hint="eastAsia" w:ascii="微软雅黑" w:hAnsi="微软雅黑" w:eastAsia="微软雅黑"/>
          <w:color w:val="0000FF"/>
          <w:sz w:val="20"/>
          <w:highlight w:val="none"/>
        </w:rPr>
        <w:t>201</w:t>
      </w:r>
      <w:r>
        <w:rPr>
          <w:rFonts w:hint="eastAsia" w:ascii="微软雅黑" w:hAnsi="微软雅黑" w:eastAsia="微软雅黑"/>
          <w:color w:val="0000FF"/>
          <w:sz w:val="20"/>
          <w:highlight w:val="none"/>
          <w:lang w:val="en-US" w:eastAsia="zh-CN"/>
        </w:rPr>
        <w:t>5</w:t>
      </w:r>
      <w:r>
        <w:rPr>
          <w:rFonts w:hint="eastAsia" w:ascii="微软雅黑" w:hAnsi="微软雅黑" w:eastAsia="微软雅黑"/>
          <w:color w:val="0000FF"/>
          <w:sz w:val="20"/>
          <w:highlight w:val="none"/>
        </w:rPr>
        <w:t>年</w:t>
      </w:r>
      <w:r>
        <w:rPr>
          <w:rFonts w:hint="eastAsia" w:ascii="微软雅黑" w:hAnsi="微软雅黑" w:eastAsia="微软雅黑"/>
          <w:color w:val="0000FF"/>
          <w:sz w:val="20"/>
          <w:highlight w:val="none"/>
          <w:lang w:val="en-US" w:eastAsia="zh-CN"/>
        </w:rPr>
        <w:t>11</w:t>
      </w:r>
      <w:r>
        <w:rPr>
          <w:rFonts w:hint="eastAsia" w:ascii="微软雅黑" w:hAnsi="微软雅黑" w:eastAsia="微软雅黑"/>
          <w:color w:val="0000FF"/>
          <w:sz w:val="20"/>
          <w:highlight w:val="none"/>
        </w:rPr>
        <w:t>月</w:t>
      </w:r>
      <w:r>
        <w:rPr>
          <w:rFonts w:hint="eastAsia" w:ascii="微软雅黑" w:hAnsi="微软雅黑" w:eastAsia="微软雅黑"/>
          <w:color w:val="0000FF"/>
          <w:sz w:val="20"/>
          <w:highlight w:val="none"/>
          <w:lang w:val="en-US" w:eastAsia="zh-CN"/>
        </w:rPr>
        <w:t xml:space="preserve">16 </w:t>
      </w:r>
      <w:r>
        <w:rPr>
          <w:rFonts w:hint="eastAsia" w:ascii="微软雅黑" w:hAnsi="微软雅黑" w:eastAsia="微软雅黑"/>
          <w:color w:val="0000FF"/>
          <w:sz w:val="20"/>
          <w:highlight w:val="none"/>
        </w:rPr>
        <w:t>日</w:t>
      </w:r>
      <w:r>
        <w:rPr>
          <w:rFonts w:hint="eastAsia" w:ascii="微软雅黑" w:hAnsi="微软雅黑" w:eastAsia="微软雅黑"/>
          <w:color w:val="0000FF"/>
          <w:sz w:val="20"/>
          <w:highlight w:val="none"/>
          <w:lang w:val="en-US" w:eastAsia="zh-CN"/>
        </w:rPr>
        <w:t xml:space="preserve">13：00前送达 </w:t>
      </w:r>
      <w:r>
        <w:rPr>
          <w:rFonts w:hint="eastAsia" w:ascii="微软雅黑" w:hAnsi="微软雅黑" w:eastAsia="微软雅黑"/>
          <w:color w:val="auto"/>
          <w:sz w:val="20"/>
          <w:highlight w:val="none"/>
        </w:rPr>
        <w:t>递交地点（即开标地点</w:t>
      </w:r>
      <w:r>
        <w:rPr>
          <w:rFonts w:hint="eastAsia" w:ascii="微软雅黑" w:hAnsi="微软雅黑" w:eastAsia="微软雅黑"/>
          <w:color w:val="auto"/>
          <w:sz w:val="20"/>
          <w:highlight w:val="none"/>
          <w:lang w:eastAsia="zh-CN"/>
        </w:rPr>
        <w:t>吉</w:t>
      </w:r>
      <w:r>
        <w:rPr>
          <w:rFonts w:hint="eastAsia" w:ascii="微软雅黑" w:hAnsi="微软雅黑" w:eastAsia="微软雅黑" w:cs="微软雅黑"/>
          <w:sz w:val="20"/>
          <w:szCs w:val="20"/>
        </w:rPr>
        <w:t>林省吉林中西医结合医院</w:t>
      </w:r>
      <w:r>
        <w:rPr>
          <w:rFonts w:hint="eastAsia" w:ascii="微软雅黑" w:hAnsi="微软雅黑" w:eastAsia="微软雅黑" w:cs="微软雅黑"/>
          <w:sz w:val="20"/>
          <w:szCs w:val="20"/>
          <w:lang w:eastAsia="zh-CN"/>
        </w:rPr>
        <w:t>五楼电教室</w:t>
      </w:r>
      <w:r>
        <w:rPr>
          <w:rFonts w:hint="eastAsia" w:ascii="微软雅黑" w:hAnsi="微软雅黑" w:eastAsia="微软雅黑"/>
          <w:color w:val="auto"/>
          <w:sz w:val="20"/>
        </w:rPr>
        <w:t>，逾期送达的或者未送达指定地点的投标文件，将不予受理。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00" w:firstLineChars="300"/>
        <w:textAlignment w:val="auto"/>
        <w:rPr>
          <w:rFonts w:hint="eastAsia" w:ascii="微软雅黑" w:hAnsi="微软雅黑" w:eastAsia="微软雅黑"/>
          <w:color w:val="auto"/>
          <w:sz w:val="20"/>
          <w:highlight w:val="none"/>
          <w:lang w:val="en-US" w:eastAsia="zh-CN"/>
        </w:rPr>
      </w:pPr>
      <w:r>
        <w:rPr>
          <w:rFonts w:hint="eastAsia" w:ascii="微软雅黑" w:hAnsi="微软雅黑" w:eastAsia="微软雅黑"/>
          <w:color w:val="auto"/>
          <w:sz w:val="20"/>
          <w:highlight w:val="none"/>
          <w:lang w:val="en-US" w:eastAsia="zh-CN"/>
        </w:rPr>
        <w:t>开标时间：2015年11月16</w:t>
      </w:r>
      <w:bookmarkStart w:id="5" w:name="_GoBack"/>
      <w:bookmarkEnd w:id="5"/>
      <w:r>
        <w:rPr>
          <w:rFonts w:hint="eastAsia" w:ascii="微软雅黑" w:hAnsi="微软雅黑" w:eastAsia="微软雅黑"/>
          <w:color w:val="auto"/>
          <w:sz w:val="20"/>
          <w:highlight w:val="none"/>
          <w:lang w:val="en-US" w:eastAsia="zh-CN"/>
        </w:rPr>
        <w:t>日13：00</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00" w:firstLineChars="300"/>
        <w:textAlignment w:val="auto"/>
        <w:rPr>
          <w:rFonts w:hint="eastAsia" w:ascii="微软雅黑" w:hAnsi="微软雅黑" w:eastAsia="微软雅黑"/>
          <w:color w:val="auto"/>
          <w:sz w:val="20"/>
          <w:highlight w:val="none"/>
          <w:lang w:val="en-US" w:eastAsia="zh-CN"/>
        </w:rPr>
      </w:pPr>
      <w:r>
        <w:rPr>
          <w:rFonts w:hint="eastAsia" w:ascii="微软雅黑" w:hAnsi="微软雅黑" w:eastAsia="微软雅黑"/>
          <w:color w:val="auto"/>
          <w:sz w:val="20"/>
          <w:highlight w:val="none"/>
          <w:lang w:val="en-US" w:eastAsia="zh-CN"/>
        </w:rPr>
        <w:t>开标地点：吉林省吉林中西医结合医院3楼交班室</w:t>
      </w:r>
    </w:p>
    <w:p>
      <w:pPr>
        <w:spacing w:line="0" w:lineRule="atLeast"/>
        <w:rPr>
          <w:rFonts w:ascii="微软雅黑" w:hAnsi="微软雅黑" w:eastAsia="微软雅黑"/>
          <w:b/>
          <w:color w:val="000000"/>
          <w:sz w:val="20"/>
        </w:rPr>
      </w:pPr>
      <w:r>
        <w:rPr>
          <w:rFonts w:hint="eastAsia" w:ascii="微软雅黑" w:hAnsi="微软雅黑" w:eastAsia="微软雅黑"/>
          <w:b/>
          <w:color w:val="000000"/>
          <w:sz w:val="20"/>
          <w:lang w:eastAsia="zh-CN"/>
        </w:rPr>
        <w:t>七</w:t>
      </w:r>
      <w:r>
        <w:rPr>
          <w:rFonts w:hint="eastAsia" w:ascii="微软雅黑" w:hAnsi="微软雅黑" w:eastAsia="微软雅黑"/>
          <w:b/>
          <w:color w:val="000000"/>
          <w:sz w:val="20"/>
        </w:rPr>
        <w:t>、联系方式</w:t>
      </w:r>
    </w:p>
    <w:p>
      <w:pPr>
        <w:spacing w:line="0" w:lineRule="atLeast"/>
        <w:ind w:firstLine="342" w:firstLineChars="171"/>
        <w:rPr>
          <w:rFonts w:ascii="微软雅黑" w:hAnsi="微软雅黑" w:eastAsia="微软雅黑"/>
          <w:color w:val="000000"/>
          <w:sz w:val="20"/>
        </w:rPr>
      </w:pPr>
      <w:r>
        <w:rPr>
          <w:rFonts w:hint="eastAsia" w:ascii="微软雅黑" w:hAnsi="微软雅黑" w:eastAsia="微软雅黑"/>
          <w:color w:val="000000"/>
          <w:sz w:val="20"/>
        </w:rPr>
        <w:t>采购人</w:t>
      </w:r>
      <w:r>
        <w:rPr>
          <w:rFonts w:ascii="微软雅黑" w:hAnsi="微软雅黑" w:eastAsia="微软雅黑"/>
          <w:color w:val="000000"/>
          <w:sz w:val="20"/>
        </w:rPr>
        <w:t>：</w:t>
      </w:r>
      <w:r>
        <w:rPr>
          <w:rFonts w:hint="eastAsia" w:ascii="微软雅黑" w:hAnsi="微软雅黑" w:eastAsia="微软雅黑"/>
          <w:color w:val="000000"/>
          <w:sz w:val="20"/>
          <w:u w:val="none"/>
          <w:lang w:eastAsia="zh-CN"/>
        </w:rPr>
        <w:t>吉林省吉林中西医结合医院</w:t>
      </w:r>
    </w:p>
    <w:p>
      <w:pPr>
        <w:spacing w:line="0" w:lineRule="atLeast"/>
        <w:ind w:firstLine="342" w:firstLineChars="171"/>
        <w:rPr>
          <w:rFonts w:ascii="微软雅黑" w:hAnsi="微软雅黑" w:eastAsia="微软雅黑"/>
          <w:color w:val="000000"/>
          <w:sz w:val="20"/>
        </w:rPr>
      </w:pPr>
      <w:r>
        <w:rPr>
          <w:rFonts w:hint="eastAsia" w:ascii="微软雅黑" w:hAnsi="微软雅黑" w:eastAsia="微软雅黑"/>
          <w:color w:val="000000"/>
          <w:sz w:val="20"/>
        </w:rPr>
        <w:t>地址</w:t>
      </w:r>
      <w:r>
        <w:rPr>
          <w:rFonts w:ascii="微软雅黑" w:hAnsi="微软雅黑" w:eastAsia="微软雅黑"/>
          <w:color w:val="000000"/>
          <w:sz w:val="20"/>
        </w:rPr>
        <w:t>：</w:t>
      </w:r>
      <w:r>
        <w:rPr>
          <w:rFonts w:hint="eastAsia" w:ascii="微软雅黑" w:hAnsi="微软雅黑" w:eastAsia="微软雅黑"/>
          <w:color w:val="000000"/>
          <w:sz w:val="20"/>
          <w:highlight w:val="none"/>
          <w:lang w:eastAsia="zh-CN"/>
        </w:rPr>
        <w:t>吉林市船营区长春路9号</w:t>
      </w:r>
    </w:p>
    <w:p>
      <w:pPr>
        <w:spacing w:line="0" w:lineRule="atLeast"/>
        <w:ind w:firstLine="354" w:firstLineChars="177"/>
        <w:rPr>
          <w:rFonts w:ascii="微软雅黑" w:hAnsi="微软雅黑" w:eastAsia="微软雅黑"/>
          <w:color w:val="000000"/>
          <w:sz w:val="20"/>
        </w:rPr>
      </w:pPr>
      <w:r>
        <w:rPr>
          <w:rFonts w:hint="eastAsia" w:ascii="微软雅黑" w:hAnsi="微软雅黑" w:eastAsia="微软雅黑"/>
          <w:color w:val="000000"/>
          <w:sz w:val="20"/>
        </w:rPr>
        <w:t>联系人</w:t>
      </w:r>
      <w:r>
        <w:rPr>
          <w:rFonts w:ascii="微软雅黑" w:hAnsi="微软雅黑" w:eastAsia="微软雅黑"/>
          <w:color w:val="000000"/>
          <w:sz w:val="20"/>
        </w:rPr>
        <w:t>：</w:t>
      </w:r>
      <w:r>
        <w:rPr>
          <w:rFonts w:hint="eastAsia" w:ascii="微软雅黑" w:hAnsi="微软雅黑" w:eastAsia="微软雅黑"/>
          <w:color w:val="000000"/>
          <w:sz w:val="20"/>
          <w:lang w:eastAsia="zh-CN"/>
        </w:rPr>
        <w:t>黄主任</w:t>
      </w:r>
    </w:p>
    <w:p>
      <w:pPr>
        <w:spacing w:line="0" w:lineRule="atLeast"/>
        <w:ind w:firstLine="342" w:firstLineChars="171"/>
        <w:rPr>
          <w:rFonts w:ascii="微软雅黑" w:hAnsi="微软雅黑" w:eastAsia="微软雅黑"/>
          <w:color w:val="000000"/>
          <w:sz w:val="20"/>
        </w:rPr>
      </w:pPr>
      <w:r>
        <w:rPr>
          <w:rFonts w:hint="eastAsia" w:ascii="微软雅黑" w:hAnsi="微软雅黑" w:eastAsia="微软雅黑"/>
          <w:color w:val="000000"/>
          <w:sz w:val="20"/>
        </w:rPr>
        <w:t>电话：</w:t>
      </w:r>
      <w:r>
        <w:rPr>
          <w:rFonts w:hint="eastAsia" w:ascii="微软雅黑" w:hAnsi="微软雅黑" w:eastAsia="微软雅黑"/>
          <w:color w:val="000000"/>
          <w:sz w:val="20"/>
          <w:lang w:val="en-US" w:eastAsia="zh-CN"/>
        </w:rPr>
        <w:t>0432-65010659</w:t>
      </w:r>
    </w:p>
    <w:p>
      <w:pPr>
        <w:rPr>
          <w:rFonts w:hint="eastAsia" w:ascii="微软雅黑" w:hAnsi="微软雅黑" w:eastAsia="微软雅黑"/>
          <w:b w:val="0"/>
          <w:bCs/>
          <w:color w:val="000000"/>
          <w:sz w:val="20"/>
          <w:lang w:eastAsia="zh-CN"/>
        </w:rPr>
      </w:pPr>
      <w:r>
        <w:rPr>
          <w:rFonts w:hint="eastAsia" w:ascii="微软雅黑" w:hAnsi="微软雅黑" w:eastAsia="微软雅黑" w:cs="微软雅黑"/>
          <w:sz w:val="20"/>
          <w:szCs w:val="20"/>
        </w:rPr>
        <w:t>附件一：</w:t>
      </w:r>
      <w:r>
        <w:rPr>
          <w:rFonts w:hint="eastAsia" w:ascii="微软雅黑" w:hAnsi="微软雅黑" w:eastAsia="微软雅黑" w:cs="微软雅黑"/>
          <w:sz w:val="20"/>
          <w:szCs w:val="20"/>
          <w:lang w:val="en-US" w:eastAsia="zh-CN"/>
        </w:rPr>
        <w:t>骨科高值医疗器械项目</w:t>
      </w:r>
      <w:r>
        <w:rPr>
          <w:rFonts w:hint="eastAsia" w:ascii="微软雅黑" w:hAnsi="微软雅黑" w:eastAsia="微软雅黑" w:cs="微软雅黑"/>
          <w:b w:val="0"/>
          <w:bCs/>
          <w:sz w:val="20"/>
          <w:szCs w:val="20"/>
          <w:lang w:val="en-US" w:eastAsia="zh-CN"/>
        </w:rPr>
        <w:t>参数</w:t>
      </w:r>
    </w:p>
    <w:p>
      <w:pPr>
        <w:spacing w:line="0" w:lineRule="atLeast"/>
        <w:rPr>
          <w:rFonts w:hint="eastAsia" w:ascii="微软雅黑" w:hAnsi="微软雅黑" w:eastAsia="微软雅黑"/>
          <w:color w:val="000000"/>
          <w:sz w:val="20"/>
          <w:lang w:val="en-US" w:eastAsia="zh-CN"/>
        </w:rPr>
      </w:pPr>
      <w:r>
        <w:rPr>
          <w:rFonts w:hint="eastAsia" w:ascii="微软雅黑" w:hAnsi="微软雅黑" w:eastAsia="微软雅黑"/>
          <w:color w:val="000000"/>
          <w:sz w:val="20"/>
          <w:lang w:val="en-US" w:eastAsia="zh-CN"/>
        </w:rPr>
        <w:t xml:space="preserve">                                                                 2015年10月</w:t>
      </w:r>
      <w:bookmarkEnd w:id="0"/>
      <w:bookmarkEnd w:id="1"/>
      <w:bookmarkEnd w:id="2"/>
      <w:bookmarkEnd w:id="3"/>
      <w:bookmarkEnd w:id="4"/>
      <w:r>
        <w:rPr>
          <w:rFonts w:hint="eastAsia" w:ascii="微软雅黑" w:hAnsi="微软雅黑" w:eastAsia="微软雅黑"/>
          <w:color w:val="000000"/>
          <w:sz w:val="20"/>
          <w:lang w:val="en-US" w:eastAsia="zh-CN"/>
        </w:rPr>
        <w:t>29日</w:t>
      </w:r>
    </w:p>
    <w:p>
      <w:pPr>
        <w:tabs>
          <w:tab w:val="left" w:pos="1365"/>
        </w:tabs>
        <w:spacing w:line="360" w:lineRule="auto"/>
        <w:jc w:val="both"/>
        <w:rPr>
          <w:rFonts w:hint="eastAsia" w:ascii="宋体" w:hAnsi="宋体"/>
          <w:b/>
          <w:color w:val="000000"/>
          <w:sz w:val="30"/>
          <w:szCs w:val="30"/>
          <w:lang w:eastAsia="zh-CN"/>
        </w:rPr>
      </w:pPr>
    </w:p>
    <w:p>
      <w:pPr>
        <w:tabs>
          <w:tab w:val="left" w:pos="1365"/>
        </w:tabs>
        <w:spacing w:line="360" w:lineRule="auto"/>
        <w:jc w:val="both"/>
        <w:rPr>
          <w:rFonts w:hint="eastAsia" w:ascii="宋体" w:hAnsi="宋体"/>
          <w:b/>
          <w:color w:val="000000"/>
          <w:sz w:val="30"/>
          <w:szCs w:val="30"/>
          <w:lang w:eastAsia="zh-CN"/>
        </w:rPr>
      </w:pPr>
    </w:p>
    <w:p>
      <w:pPr>
        <w:spacing w:line="440" w:lineRule="exact"/>
        <w:jc w:val="both"/>
        <w:rPr>
          <w:rFonts w:hint="eastAsia" w:ascii="微软雅黑" w:hAnsi="微软雅黑" w:eastAsia="微软雅黑"/>
          <w:b/>
          <w:bCs/>
          <w:sz w:val="30"/>
          <w:szCs w:val="30"/>
          <w:lang w:eastAsia="zh-CN"/>
        </w:rPr>
      </w:pPr>
      <w:r>
        <w:rPr>
          <w:rFonts w:hint="eastAsia" w:ascii="宋体" w:hAnsi="宋体"/>
          <w:b/>
          <w:color w:val="000000"/>
          <w:sz w:val="30"/>
          <w:szCs w:val="30"/>
          <w:lang w:eastAsia="zh-CN"/>
        </w:rPr>
        <w:t>附件一：</w:t>
      </w:r>
      <w:r>
        <w:rPr>
          <w:rFonts w:hint="eastAsia" w:ascii="宋体" w:hAnsi="宋体"/>
          <w:b/>
          <w:color w:val="000000"/>
          <w:sz w:val="30"/>
          <w:szCs w:val="30"/>
          <w:lang w:val="en-US" w:eastAsia="zh-CN"/>
        </w:rPr>
        <w:t xml:space="preserve">              </w:t>
      </w:r>
      <w:r>
        <w:rPr>
          <w:rFonts w:hint="eastAsia" w:ascii="宋体" w:hAnsi="宋体" w:cs="宋体"/>
          <w:b/>
          <w:bCs/>
          <w:color w:val="000000"/>
          <w:kern w:val="0"/>
          <w:sz w:val="30"/>
          <w:szCs w:val="30"/>
          <w:highlight w:val="none"/>
          <w:lang w:val="en-US" w:eastAsia="zh-CN"/>
        </w:rPr>
        <w:t xml:space="preserve"> </w:t>
      </w:r>
      <w:r>
        <w:rPr>
          <w:rFonts w:hint="eastAsia" w:ascii="微软雅黑" w:hAnsi="微软雅黑" w:eastAsia="微软雅黑"/>
          <w:b/>
          <w:bCs/>
          <w:sz w:val="30"/>
          <w:szCs w:val="30"/>
          <w:lang w:eastAsia="zh-CN"/>
        </w:rPr>
        <w:t>骨科高值医疗器械项目</w:t>
      </w:r>
    </w:p>
    <w:tbl>
      <w:tblPr>
        <w:tblStyle w:val="6"/>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280"/>
        <w:gridCol w:w="1905"/>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品名</w:t>
            </w:r>
          </w:p>
        </w:tc>
        <w:tc>
          <w:tcPr>
            <w:tcW w:w="2280" w:type="dxa"/>
          </w:tcPr>
          <w:p>
            <w:pPr>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eastAsia="zh-CN"/>
              </w:rPr>
              <w:t>材质</w:t>
            </w:r>
            <w:r>
              <w:rPr>
                <w:rFonts w:hint="eastAsia" w:ascii="宋体" w:hAnsi="宋体" w:cs="宋体"/>
                <w:b w:val="0"/>
                <w:bCs w:val="0"/>
                <w:sz w:val="21"/>
                <w:szCs w:val="21"/>
                <w:vertAlign w:val="baseline"/>
                <w:lang w:val="en-US" w:eastAsia="zh-CN"/>
              </w:rPr>
              <w:t>/型号</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生产厂家</w:t>
            </w: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投标企业报价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胸腰椎内固定系统</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AF钉内固定系统</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颈椎人工间盘</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外固定支架</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钢</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碳纤维管</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碳纤维</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管夹</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钢</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牵引针</w:t>
            </w:r>
          </w:p>
        </w:tc>
        <w:tc>
          <w:tcPr>
            <w:tcW w:w="2280" w:type="dxa"/>
            <w:vAlign w:val="top"/>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钢</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连接棒</w:t>
            </w:r>
          </w:p>
        </w:tc>
        <w:tc>
          <w:tcPr>
            <w:tcW w:w="2280" w:type="dxa"/>
            <w:vAlign w:val="top"/>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钢</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可吸收螺钉</w:t>
            </w:r>
          </w:p>
        </w:tc>
        <w:tc>
          <w:tcPr>
            <w:tcW w:w="2280" w:type="dxa"/>
            <w:vAlign w:val="top"/>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聚械旋乳酸</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颈椎钛板</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人工骨</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羟基磷灰石</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间盘融合器</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钛等</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空心接骨螺钉</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髋关节假体</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椎体融合器</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金属接骨螺钉</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锁骨解剖接骨板</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钛、钢、锁定</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肱骨解剖接骨板</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钛、钢、锁定</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尺桡骨解剖接骨板</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钛、钢、锁定</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骨盆解剖接骨板</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钛、钢、锁定</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股骨解剖接骨板</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钛、钢、锁定</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胫骨解剖接骨板</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钛、钢、锁定</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腓骨解剖接骨板</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钛、钢、锁定</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动力髋系统</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钛、钢、锁定</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动力踝系统</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钛、钢、锁定</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皮质骨螺钉</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钛、钢</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松质骨螺钉</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钛、钢</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髓内钉</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钛、钢</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3099" w:type="dxa"/>
          </w:tcPr>
          <w:p>
            <w:pPr>
              <w:spacing w:line="440" w:lineRule="exact"/>
              <w:jc w:val="center"/>
              <w:rPr>
                <w:rFonts w:hint="eastAsia" w:ascii="宋体" w:hAnsi="宋体" w:cs="宋体"/>
                <w:b w:val="0"/>
                <w:bCs w:val="0"/>
                <w:sz w:val="21"/>
                <w:szCs w:val="21"/>
                <w:vertAlign w:val="baseline"/>
                <w:lang w:eastAsia="zh-CN"/>
              </w:rPr>
            </w:pPr>
            <w:r>
              <w:rPr>
                <w:rFonts w:hint="eastAsia" w:ascii="宋体" w:hAnsi="宋体" w:cs="宋体"/>
                <w:b w:val="0"/>
                <w:bCs w:val="0"/>
                <w:sz w:val="21"/>
                <w:szCs w:val="21"/>
                <w:vertAlign w:val="baseline"/>
                <w:lang w:eastAsia="zh-CN"/>
              </w:rPr>
              <w:t>人工关节</w:t>
            </w:r>
          </w:p>
        </w:tc>
        <w:tc>
          <w:tcPr>
            <w:tcW w:w="2280" w:type="dxa"/>
          </w:tcPr>
          <w:p>
            <w:pPr>
              <w:spacing w:line="440" w:lineRule="exact"/>
              <w:jc w:val="center"/>
              <w:rPr>
                <w:rFonts w:hint="eastAsia" w:ascii="宋体" w:hAnsi="宋体" w:eastAsia="宋体" w:cs="宋体"/>
                <w:b w:val="0"/>
                <w:bCs w:val="0"/>
                <w:sz w:val="21"/>
                <w:szCs w:val="21"/>
                <w:vertAlign w:val="baseline"/>
                <w:lang w:eastAsia="zh-CN"/>
              </w:rPr>
            </w:pPr>
            <w:r>
              <w:rPr>
                <w:rFonts w:hint="eastAsia" w:ascii="宋体" w:hAnsi="宋体" w:cs="宋体"/>
                <w:b w:val="0"/>
                <w:bCs w:val="0"/>
                <w:sz w:val="21"/>
                <w:szCs w:val="21"/>
                <w:vertAlign w:val="baseline"/>
                <w:lang w:eastAsia="zh-CN"/>
              </w:rPr>
              <w:t>国产、进口</w:t>
            </w:r>
          </w:p>
        </w:tc>
        <w:tc>
          <w:tcPr>
            <w:tcW w:w="1905" w:type="dxa"/>
          </w:tcPr>
          <w:p>
            <w:pPr>
              <w:spacing w:line="440" w:lineRule="exact"/>
              <w:jc w:val="center"/>
              <w:rPr>
                <w:rFonts w:hint="eastAsia" w:ascii="宋体" w:hAnsi="宋体" w:eastAsia="宋体" w:cs="宋体"/>
                <w:b w:val="0"/>
                <w:bCs w:val="0"/>
                <w:sz w:val="21"/>
                <w:szCs w:val="21"/>
                <w:vertAlign w:val="baseline"/>
                <w:lang w:eastAsia="zh-CN"/>
              </w:rPr>
            </w:pPr>
          </w:p>
        </w:tc>
        <w:tc>
          <w:tcPr>
            <w:tcW w:w="2429" w:type="dxa"/>
          </w:tcPr>
          <w:p>
            <w:pPr>
              <w:spacing w:line="440" w:lineRule="exact"/>
              <w:jc w:val="center"/>
              <w:rPr>
                <w:rFonts w:hint="eastAsia" w:ascii="宋体" w:hAnsi="宋体" w:eastAsia="宋体" w:cs="宋体"/>
                <w:b w:val="0"/>
                <w:bCs w:val="0"/>
                <w:sz w:val="21"/>
                <w:szCs w:val="21"/>
                <w:vertAlign w:val="baseline"/>
                <w:lang w:eastAsia="zh-CN"/>
              </w:rPr>
            </w:pPr>
          </w:p>
        </w:tc>
      </w:tr>
    </w:tbl>
    <w:p>
      <w:pPr>
        <w:pStyle w:val="7"/>
        <w:numPr>
          <w:ilvl w:val="0"/>
          <w:numId w:val="0"/>
        </w:numPr>
        <w:spacing w:line="440" w:lineRule="exact"/>
        <w:rPr>
          <w:rFonts w:hint="eastAsia" w:ascii="宋体" w:hAnsi="宋体" w:cs="宋体"/>
          <w:b/>
          <w:bCs/>
          <w:color w:val="000000"/>
          <w:kern w:val="0"/>
          <w:sz w:val="20"/>
          <w:szCs w:val="20"/>
          <w:highlight w:val="none"/>
          <w:lang w:val="en-US" w:eastAsia="zh-CN"/>
        </w:rPr>
      </w:pPr>
    </w:p>
    <w:p/>
    <w:sectPr>
      <w:headerReference r:id="rId6" w:type="first"/>
      <w:headerReference r:id="rId5" w:type="default"/>
      <w:footerReference r:id="rId7" w:type="default"/>
      <w:pgSz w:w="11907" w:h="16840"/>
      <w:pgMar w:top="1134" w:right="992" w:bottom="828" w:left="1418" w:header="851" w:footer="573"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L3UTQAAAAAgEAAA8AAAAAAAAAAQAgAAAAIgAAAGRycy9kb3ducmV2LnhtbFBLAQIUABQAAAAI&#10;AIdO4kD1DWw2vAEAAFEDAAAOAAAAAAAAAAEAIAAAAB8BAABkcnMvZTJvRG9jLnhtbFBLBQYAAAAA&#10;BgAGAFkBAABN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A8FA"/>
    <w:multiLevelType w:val="singleLevel"/>
    <w:tmpl w:val="08BBA8FA"/>
    <w:lvl w:ilvl="0" w:tentative="0">
      <w:start w:val="2"/>
      <w:numFmt w:val="decimal"/>
      <w:suff w:val="nothing"/>
      <w:lvlText w:val="%1、"/>
      <w:lvlJc w:val="left"/>
    </w:lvl>
  </w:abstractNum>
  <w:abstractNum w:abstractNumId="1">
    <w:nsid w:val="5A377920"/>
    <w:multiLevelType w:val="singleLevel"/>
    <w:tmpl w:val="5A377920"/>
    <w:lvl w:ilvl="0" w:tentative="0">
      <w:start w:val="1"/>
      <w:numFmt w:val="chineseCounting"/>
      <w:suff w:val="nothing"/>
      <w:lvlText w:val="%1、"/>
      <w:lvlJc w:val="left"/>
    </w:lvl>
  </w:abstractNum>
  <w:abstractNum w:abstractNumId="2">
    <w:nsid w:val="5A377938"/>
    <w:multiLevelType w:val="singleLevel"/>
    <w:tmpl w:val="5A377938"/>
    <w:lvl w:ilvl="0" w:tentative="0">
      <w:start w:val="1"/>
      <w:numFmt w:val="decimal"/>
      <w:suff w:val="nothing"/>
      <w:lvlText w:val="%1、"/>
      <w:lvlJc w:val="left"/>
      <w:pPr>
        <w:ind w:left="105"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F6717"/>
    <w:rsid w:val="0F42584D"/>
    <w:rsid w:val="352D1052"/>
    <w:rsid w:val="61836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深蓝</cp:lastModifiedBy>
  <dcterms:modified xsi:type="dcterms:W3CDTF">2018-12-08T07:17:45Z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